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48" w:rsidRDefault="000B1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1B48" w:rsidRDefault="004A21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MRPiPS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pytania dot. przepisów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z dnia 2 marca 2020 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o szczególnych rozwiązaniach związanych z zapobieganiem, przeciwdziałaniem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zwalczaniem COVID-19, innych chorób zakaźnych oraz wywołanych nimi sytuacji kryzysowych (Dz. U. poz. 374, 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zm.)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10.IV.2020 r.</w:t>
      </w:r>
    </w:p>
    <w:p w:rsidR="000B1B48" w:rsidRDefault="000B1B48">
      <w:pPr>
        <w:jc w:val="both"/>
        <w:rPr>
          <w:rFonts w:ascii="Times New Roman" w:hAnsi="Times New Roman" w:cs="Times New Roman"/>
        </w:rPr>
      </w:pPr>
    </w:p>
    <w:p w:rsidR="000B1B48" w:rsidRDefault="000B1B48">
      <w:pPr>
        <w:jc w:val="both"/>
        <w:rPr>
          <w:rFonts w:ascii="Times New Roman" w:hAnsi="Times New Roman" w:cs="Times New Roman"/>
        </w:rPr>
      </w:pP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Pytanie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Czy do każdego pracownika objętego dofinansowaniem należy podać dokładną kwotę jego wynagrodzenia w miesi</w:t>
      </w:r>
      <w:r>
        <w:rPr>
          <w:rFonts w:ascii="Times New Roman" w:hAnsi="Times New Roman" w:cs="Times New Roman"/>
          <w:i/>
          <w:sz w:val="24"/>
          <w:szCs w:val="24"/>
        </w:rPr>
        <w:t>ącu składania wniosku, w poprzednim, czy także za kolejne miesiące?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Tak. W odniesieniu do każdego z pracowników, objętych wnioskiem o dofinansowanie </w:t>
      </w:r>
      <w:r>
        <w:rPr>
          <w:rFonts w:ascii="Times New Roman" w:hAnsi="Times New Roman" w:cs="Times New Roman"/>
          <w:sz w:val="24"/>
          <w:szCs w:val="24"/>
        </w:rPr>
        <w:br/>
        <w:t>w ramach instrumentu dostępnego na podstawie art.15zzb wymagane jest podanie dokładnej kwoty jego wynagrod</w:t>
      </w:r>
      <w:r>
        <w:rPr>
          <w:rFonts w:ascii="Times New Roman" w:hAnsi="Times New Roman" w:cs="Times New Roman"/>
          <w:sz w:val="24"/>
          <w:szCs w:val="24"/>
        </w:rPr>
        <w:t>zenia brutto według stanu na ostatni dzień miesiąca, za który dofinansowanie jest wypłacane. Zatem jeżeli przedsiębiorca składa wniosek w kwietniu, to powinien w załączonym do niego oświadczeniu wskazać wartość wynagrodzenia brutto, która zostanie wypłacon</w:t>
      </w:r>
      <w:r>
        <w:rPr>
          <w:rFonts w:ascii="Times New Roman" w:hAnsi="Times New Roman" w:cs="Times New Roman"/>
          <w:sz w:val="24"/>
          <w:szCs w:val="24"/>
        </w:rPr>
        <w:t>a pracownikowi za miesiąc kwiecień.</w:t>
      </w:r>
    </w:p>
    <w:p w:rsidR="000B1B48" w:rsidRDefault="000B1B48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Pytanie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Czy w przypadku przedsiębiorcy występującego o to dofinansowanie zgodnie z art. 15zzc dostanie je wyłącznie osoba która działalność zarejestrowała w CEIDG, czy także wspólnicy spółek kapitałowych, czy spółki </w:t>
      </w:r>
      <w:r>
        <w:rPr>
          <w:rFonts w:ascii="Times New Roman" w:hAnsi="Times New Roman" w:cs="Times New Roman"/>
          <w:i/>
          <w:sz w:val="24"/>
          <w:szCs w:val="24"/>
        </w:rPr>
        <w:t>cywilnej?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części kosztów prowadzenia działalności gospodarczej zgodnie z art. 15zzc 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spadku obrotów gospodarczych w następstwie wystąpienia COVID-19, może być jedynie  przyznane  przedsiębiorcy będącemu osobą fizyczną </w:t>
      </w:r>
      <w:r>
        <w:rPr>
          <w:rFonts w:ascii="Times New Roman" w:hAnsi="Times New Roman" w:cs="Times New Roman"/>
          <w:sz w:val="24"/>
          <w:szCs w:val="24"/>
        </w:rPr>
        <w:t>niezatrudniającemu pracowników prowadzącemu działalność gospodarczą, która podlega wpisowi do Centralnej Ewidencji i Informacji o Działalności Gospodarczej.</w:t>
      </w:r>
    </w:p>
    <w:p w:rsidR="000B1B48" w:rsidRDefault="000B1B4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Pytanie 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>Które z dotacji i ulg przewidzianych w 15g, art. 15zq-15zz, art. 15zzb i 15zzc, 15zzd,</w:t>
      </w:r>
      <w:r>
        <w:rPr>
          <w:rFonts w:ascii="Times New Roman" w:hAnsi="Times New Roman" w:cs="Times New Roman"/>
          <w:i/>
          <w:sz w:val="24"/>
          <w:szCs w:val="24"/>
        </w:rPr>
        <w:t xml:space="preserve"> czy 31zo i następne można ze sobą łączyć a których nie. W szczególności czy zwolnienie ze składek wyklucza możliwość starania o dofinansowanie z FGŚP, czy FP? Czy przedsiębiorca może wystąpić o dofinansowanie z tytułu przestoju, a następnie o dofinansowan</w:t>
      </w:r>
      <w:r>
        <w:rPr>
          <w:rFonts w:ascii="Times New Roman" w:hAnsi="Times New Roman" w:cs="Times New Roman"/>
          <w:i/>
          <w:sz w:val="24"/>
          <w:szCs w:val="24"/>
        </w:rPr>
        <w:t>ie kosztów zatrudnienia do starosty za następny miesiąc? Czyli krótko mówiąc, które formy wsparcia się wykluczają wzajemnie, a które nie można łączyć i w jakich konfiguracjach.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zwolnienia w ZUS nie wyklucza skorzystania ze wsparcia w ramach art.1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zzb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W sytuacji, gdy przedsiębiorca skorzystał ze zwolnienia z opłacania składek odprowadzanych do ZUS, nie może otrzymać dofinansowania w części dotyczącej składek na ubezpieczenia społeczne. Może natomiast otrzymać dofinansowanie części kosztów wynagr</w:t>
      </w:r>
      <w:r>
        <w:rPr>
          <w:rFonts w:ascii="Times New Roman" w:hAnsi="Times New Roman" w:cs="Times New Roman"/>
          <w:sz w:val="24"/>
          <w:szCs w:val="24"/>
        </w:rPr>
        <w:t>odzeń pracowników.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Dofinansowanie, o którym mowa w art. 15zzc może być przyznane przedsiębiorcy, który uzyska zwolnienie ze składek ZUS, o którym mowa w art. 31zo ustawy. Jeśli przedsiębiorca został zwolniony ze składek ZUS – nie stanowią one części kosztó</w:t>
      </w:r>
      <w:r>
        <w:rPr>
          <w:rFonts w:ascii="Times New Roman" w:hAnsi="Times New Roman" w:cs="Times New Roman"/>
          <w:sz w:val="24"/>
          <w:szCs w:val="24"/>
        </w:rPr>
        <w:t>w prowadzenia działalności gospodarczej. Jednocześnie przy dofinansowaniu, to przedsiębiorca wybiera, na jaką część prowadzenia działalności przeznacza dofinansowanie i nie ma obowiązku sprawozdawczości przy tej usłudze.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Również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mikroprzedsiębiorca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</w:t>
      </w:r>
      <w:r>
        <w:rPr>
          <w:rFonts w:ascii="Times New Roman" w:hAnsi="Times New Roman" w:cs="Times New Roman"/>
          <w:sz w:val="24"/>
          <w:szCs w:val="24"/>
        </w:rPr>
        <w:t>skorzysta z instrumentu w postaci pożyczki (5 tys.), może skorzystać z instrumentu z art.15zzb,  pod warunkiem, że nie wykorzysta kwoty pożyczki na finansowanie wynagrodzeń i składek.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Dopuszczalne jest także skorzystanie zarówno z dofinansowania wynagrodze</w:t>
      </w:r>
      <w:r>
        <w:rPr>
          <w:rFonts w:ascii="Times New Roman" w:hAnsi="Times New Roman" w:cs="Times New Roman"/>
          <w:sz w:val="24"/>
          <w:szCs w:val="24"/>
        </w:rPr>
        <w:t>ń pracowników  w ramach instrumentu z FGŚP i w ramach art. 15zzb, ale jedynie pod warunkiem, że nie będzie ono dotyczyło tych samych pracowników.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umożliwia ponadto łączenie formy wsparcia, o której mowa w art. 15zzd z formą wskazaną w art. 15zzb. Po</w:t>
      </w:r>
      <w:r>
        <w:rPr>
          <w:rFonts w:ascii="Times New Roman" w:hAnsi="Times New Roman" w:cs="Times New Roman"/>
          <w:sz w:val="24"/>
          <w:szCs w:val="24"/>
        </w:rPr>
        <w:t xml:space="preserve">życzka (art. 15zzd) docelowo może być przeznaczona na pokrycie bieżących kosztów prowadzenia działalności gospodarczej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mikroprzedsiębiorcy</w:t>
      </w:r>
      <w:proofErr w:type="spellEnd"/>
      <w:r>
        <w:rPr>
          <w:rFonts w:ascii="Times New Roman" w:hAnsi="Times New Roman" w:cs="Times New Roman"/>
          <w:sz w:val="24"/>
          <w:szCs w:val="24"/>
        </w:rPr>
        <w:t>. Dofinansowanie w art. 15zzb jest wsparciem z przeznaczeniem na części kosztów wynagrodzeń pracowników. Zatem o ile p</w:t>
      </w:r>
      <w:r>
        <w:rPr>
          <w:rFonts w:ascii="Times New Roman" w:hAnsi="Times New Roman" w:cs="Times New Roman"/>
          <w:sz w:val="24"/>
          <w:szCs w:val="24"/>
        </w:rPr>
        <w:t>ożyczka, nie została przeznaczona na wynagrodzenia dla pracowników oraz składki, te dwa instrumenty nie wykluczają się.</w:t>
      </w:r>
    </w:p>
    <w:p w:rsidR="000B1B48" w:rsidRDefault="000B1B4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B48" w:rsidRDefault="004A21DB">
      <w:pPr>
        <w:pStyle w:val="Tekstpodstawowy"/>
        <w:suppressAutoHyphens/>
        <w:spacing w:before="120" w:after="0" w:line="240" w:lineRule="auto"/>
        <w:rPr>
          <w:rFonts w:ascii="Times New Roman" w:eastAsiaTheme="minorHAnsi" w:hAnsi="Times New Roman"/>
          <w:b/>
          <w:i/>
          <w:iCs/>
          <w:color w:val="000000"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iCs/>
          <w:color w:val="000000"/>
          <w:spacing w:val="0"/>
          <w:sz w:val="24"/>
          <w:szCs w:val="24"/>
        </w:rPr>
        <w:t xml:space="preserve">Pytanie 4. </w:t>
      </w:r>
      <w:r>
        <w:rPr>
          <w:rFonts w:ascii="Times New Roman" w:hAnsi="Times New Roman"/>
          <w:i/>
          <w:sz w:val="24"/>
          <w:szCs w:val="24"/>
        </w:rPr>
        <w:t>Dot. zezwolenia na pracę sezonową cudzoziemca i oświadczenia o powierzeniu wykonywania pracy cudzoziemcowi.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wstępie należy podkreślić, że </w:t>
      </w:r>
      <w:r>
        <w:rPr>
          <w:rFonts w:ascii="Times New Roman" w:hAnsi="Times New Roman" w:cs="Times New Roman"/>
          <w:sz w:val="24"/>
          <w:szCs w:val="24"/>
        </w:rPr>
        <w:t xml:space="preserve">ustawa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dnia 2 marca 2020 r. o szczególnych rozwiązaniach związanych z zapobieganiem, przeciwdziałaniem i zwalczaniem COVID-19, innych chorób zakaźnych oraz wywołanych nimi sytuacji kryzysowych z</w:t>
      </w:r>
      <w:r>
        <w:rPr>
          <w:rFonts w:ascii="Times New Roman" w:hAnsi="Times New Roman" w:cs="Times New Roman"/>
          <w:sz w:val="24"/>
          <w:szCs w:val="24"/>
        </w:rPr>
        <w:t xml:space="preserve">wana dalej „specustawą”, </w:t>
      </w:r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hAnsi="Times New Roman" w:cs="Times New Roman"/>
          <w:color w:val="000000"/>
          <w:sz w:val="24"/>
          <w:szCs w:val="24"/>
        </w:rPr>
        <w:t>e zawieszenia samego postępowania, w tym także dotyczącego wydania zezwolenia na pracę cudzoziemca/ zezwolenia na pracę sezonową, czy wpisania oświadczenia o powierzeniu wykonywania pracy cudzoziemcowi  do ewidencji oświadczeń. Dotyczy natomiast zawieszeni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biegu terminów w postępowaniu administracyjnym (art.15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zzs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 Oznacza to, że wolno wydać decyzję w sprawie zezwolenia na pracę sezonową/ wpisać oświadczenie podmiotu do ewidencji. Można też wydać decyzję, która w zakresie terminu ważności zezwolenia na pr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acę sezonową nie w pełni uwzględnia żądanie strony, wyjaśniając powody  takiego rozstrzygnięcia w treści uzasadnienia. Wolno też np. napisać do strony by zmieniła termin wskazany w oświadczeniu o powierzeniu wykonywania pracy cudzoziemcowi. 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Jednocześnie n</w:t>
      </w:r>
      <w:r>
        <w:rPr>
          <w:rFonts w:ascii="Times New Roman" w:hAnsi="Times New Roman" w:cs="Times New Roman"/>
          <w:color w:val="000000"/>
          <w:sz w:val="24"/>
          <w:szCs w:val="24"/>
        </w:rPr>
        <w:t>ależy mieć na uwadze, że prowadzenie postępowań administracyjnych jest utrudnione w dobie pandemii. Dlatego zdaniem Departamentu urząd może prowadzić postępowania w ramach takich rozwiązań organizacyjnych, jakie uznaje za bezpieczne.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 15 marca 2020 polsk</w:t>
      </w:r>
      <w:r>
        <w:rPr>
          <w:rFonts w:ascii="Times New Roman" w:hAnsi="Times New Roman" w:cs="Times New Roman"/>
          <w:color w:val="000000"/>
          <w:sz w:val="24"/>
          <w:szCs w:val="24"/>
        </w:rPr>
        <w:t>ie granice są zamknięte dla cudzoziemców.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ymczasowy zakaz wjazdu do Polski nie dotyczy wszystkich cudzoziemców. Mogą przyjeżdżać do naszego kraju m.in. osoby posiadające Kartę Polaka, czy osoby posiadające prawo stałego lub czasowego pobytu na terenie RP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pozwolenie na pracę.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1 kwietnia 2020 r., zgodnie z § 2 rozporządzenia RM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 sprawie ustanowienia określonych ograniczeń (…) </w:t>
      </w:r>
      <w:r>
        <w:rPr>
          <w:rFonts w:ascii="Times New Roman" w:hAnsi="Times New Roman" w:cs="Times New Roman"/>
          <w:color w:val="000000"/>
          <w:sz w:val="24"/>
          <w:szCs w:val="24"/>
        </w:rPr>
        <w:t>wszystkie osoby wjeżdżające do Polski mają jednak obowiązek poddać się 14-dniowej kwarantannie i zainstalować w swoim  telefonie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komórkowym aplikację Kwarantanna domowa. 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Praktycznie Straż Graniczna wpuszcza wyłącznie cudzoziemców, który mają zezwolenie na pracę, zaświadczenie o wpisie do ewidencji wniosku o zezwolenie na pracę sezonową lub oświadczenie o powierzeniu wykonywania pr</w:t>
      </w:r>
      <w:r>
        <w:rPr>
          <w:rFonts w:ascii="Times New Roman" w:hAnsi="Times New Roman" w:cs="Times New Roman"/>
          <w:color w:val="000000"/>
          <w:sz w:val="24"/>
          <w:szCs w:val="24"/>
        </w:rPr>
        <w:t>acy wpisane do ewidencji oświadczeń łącznie z ważnym dokumentem pobytowym uprawniającym do wykonywania pracy na terenie RP. Cudzoziemcy mają się też wykazać dokumentami poświadczającymi, że wykonują pracę lub podjęcie pracy rozpocznie się niezwłocznie po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rzekroczeniu granicy.  Warunkiem jest również wskazanie miejsca odbywania kwarantanny domowej. 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Przepisy nie regulują kwestii czy w umowie z cudzoziemcem uwzględniać okres kwarantanny, a więc czy </w:t>
      </w:r>
      <w:r>
        <w:rPr>
          <w:rFonts w:ascii="Times New Roman" w:hAnsi="Times New Roman" w:cs="Times New Roman"/>
          <w:sz w:val="24"/>
          <w:szCs w:val="24"/>
        </w:rPr>
        <w:t xml:space="preserve">okres kwarantanny wliczać do okresu, na jaki jest wydawane </w:t>
      </w: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>
        <w:rPr>
          <w:rFonts w:ascii="Times New Roman" w:hAnsi="Times New Roman" w:cs="Times New Roman"/>
          <w:sz w:val="24"/>
          <w:szCs w:val="24"/>
        </w:rPr>
        <w:t xml:space="preserve">ezwolenie na pracę / pracę sezonową lub do okresu wykonywania pracy w związku z oświadczeniem. 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Można więc przyjąć, że cudzoziemiec, który po przekroczeniu granicy został poddany obowiązkowej kwarantannie: </w:t>
      </w:r>
    </w:p>
    <w:p w:rsidR="000B1B48" w:rsidRDefault="004A21D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faktycznie pracy nie wykonuje – umowa z cudzoziemcem będzie zawarta po zakończeniu kwarantanny, a cudzoziemiec musi mieć środki na zakwaterowanie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wyżywienie w tym okresie lub </w:t>
      </w:r>
    </w:p>
    <w:p w:rsidR="000B1B48" w:rsidRDefault="004A21D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 z cudzoziemcem (zawarta wcześniej lub niezwłocznie po przekroczeniu gra</w:t>
      </w:r>
      <w:r>
        <w:rPr>
          <w:rFonts w:ascii="Times New Roman" w:hAnsi="Times New Roman" w:cs="Times New Roman"/>
          <w:color w:val="000000"/>
          <w:sz w:val="24"/>
          <w:szCs w:val="24"/>
        </w:rPr>
        <w:t>nicy) obejmuje okres kwarantanny i ten okres będzie potraktowany jak okres chorobowego; w szczególności na podstawie art. 25 specustawy cudzoziemiec - pracownik może liczyć na wynagrodzenie i zasiłek chorobowy przysługujący pracownikom, którzy zostali podd</w:t>
      </w:r>
      <w:r>
        <w:rPr>
          <w:rFonts w:ascii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kwarantannie lub izolacji </w:t>
      </w:r>
      <w:r>
        <w:rPr>
          <w:rFonts w:ascii="Times New Roman" w:hAnsi="Times New Roman" w:cs="Times New Roman"/>
          <w:color w:val="000000"/>
          <w:sz w:val="24"/>
          <w:szCs w:val="24"/>
        </w:rPr>
        <w:t>na mocy decyzji państwowego powiatowego inspektora sanitarnego lub państwowego granicznego inspektora sanitarnego.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świetle wymagań Straży Granicznej należałoby stosować ten drugi wariant: </w:t>
      </w:r>
      <w:r>
        <w:rPr>
          <w:rFonts w:ascii="Times New Roman" w:hAnsi="Times New Roman" w:cs="Times New Roman"/>
          <w:color w:val="000000"/>
          <w:sz w:val="24"/>
          <w:szCs w:val="24"/>
        </w:rPr>
        <w:t>podjęcie pracy rozpoczyna się niezwł</w:t>
      </w:r>
      <w:r>
        <w:rPr>
          <w:rFonts w:ascii="Times New Roman" w:hAnsi="Times New Roman" w:cs="Times New Roman"/>
          <w:color w:val="000000"/>
          <w:sz w:val="24"/>
          <w:szCs w:val="24"/>
        </w:rPr>
        <w:t>ocznie po przekroczeniu granicy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art. 88p ust. 7 ustawy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 promocji (…)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jeśli wniosek o wydanie zezwolenia na pracę sezonową został wpisany do ewidencji wniosków w sprawie pracy sezonowej – zezwolenie na pracę cudzoziemca wydaje się po wjeździe c</w:t>
      </w:r>
      <w:r>
        <w:rPr>
          <w:rFonts w:ascii="Times New Roman" w:hAnsi="Times New Roman" w:cs="Times New Roman"/>
          <w:color w:val="000000"/>
          <w:sz w:val="24"/>
          <w:szCs w:val="24"/>
        </w:rPr>
        <w:t>udzoziemca, jeśli podmiot powierzający pracę przedstawił staroście kopię dokumentu upoważniającego do pobytu i informację o adresie zakwaterowania. Wpisana w zezwoleniu data rozpoczęcia pracy przez cudzoziemca jest wskazana przez podmiot powierzający pracę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wjeździe cudzoziemca i praktycznie odpowiada dacie podpisania z nim umowy. 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 art. 88z ust. 13 pkt 1 ustawy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 promocji (…)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przypadku oświadczenia wpisanego do ewidencji podmiot ma obowiązek powiadomienia starosty o podjęciu pracy przez cudzozi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emca najpóźniej w dniu rozpoczęcia pracy. Okres wykonywania pracy będzie liczył się od dnia wskazanego w powiadomieniu (lub będzie ustalany na podstawie domniemania,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którym mowa w ust. 15 powołanego przepisu). Data rozpoczęcia pracy jest określona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podmiot w umowie z cudzoziemcem.</w:t>
      </w:r>
    </w:p>
    <w:p w:rsidR="000B1B48" w:rsidRDefault="004A21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uprzejmie informuję, że w obecnej sytuacji, przepisy specustawy z mocy prawa umożliwiają cudzoziemcom dłuższe wykonywanie pracy w oparciu o posiadane zezwolenia na pracę, zezwolenia na pracę sezonową oraz oświadc</w:t>
      </w:r>
      <w:r>
        <w:rPr>
          <w:rFonts w:ascii="Times New Roman" w:hAnsi="Times New Roman" w:cs="Times New Roman"/>
          <w:sz w:val="24"/>
          <w:szCs w:val="24"/>
        </w:rPr>
        <w:t>zenia o powierzeniu wykonywania pracy cudzoziemcowi, jeżeli uprawnienia z nich wynikające kończyłyby się w okresie stanu zagrożenia epidemicznego lub stanu epidemii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(art. 15zzq ww. specustawy). Analogicznie </w:t>
      </w:r>
      <w:r>
        <w:rPr>
          <w:rFonts w:ascii="Times New Roman" w:hAnsi="Times New Roman" w:cs="Times New Roman"/>
          <w:sz w:val="24"/>
          <w:szCs w:val="24"/>
        </w:rPr>
        <w:br/>
        <w:t xml:space="preserve">z mocy prawa przedłużeniu ulega ważność </w:t>
      </w:r>
      <w:r>
        <w:rPr>
          <w:rFonts w:ascii="Times New Roman" w:hAnsi="Times New Roman" w:cs="Times New Roman"/>
          <w:sz w:val="24"/>
          <w:szCs w:val="24"/>
        </w:rPr>
        <w:t>dokumentów pobytowych (art. 15z i 15zd ww. ustawy).</w:t>
      </w:r>
    </w:p>
    <w:p w:rsidR="000B1B48" w:rsidRDefault="000B1B4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B48" w:rsidRDefault="004A21DB">
      <w:pPr>
        <w:pStyle w:val="Tekstpodstawowy"/>
        <w:suppressAutoHyphens/>
        <w:spacing w:before="120"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eastAsiaTheme="minorHAnsi" w:hAnsi="Times New Roman"/>
          <w:b/>
          <w:i/>
          <w:iCs/>
          <w:color w:val="000000"/>
          <w:spacing w:val="0"/>
          <w:sz w:val="24"/>
          <w:szCs w:val="24"/>
        </w:rPr>
        <w:t xml:space="preserve">Pytanie 5. 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Czy </w:t>
      </w:r>
      <w:proofErr w:type="spellStart"/>
      <w:r>
        <w:rPr>
          <w:rFonts w:ascii="Times New Roman" w:hAnsi="Times New Roman"/>
          <w:i/>
          <w:sz w:val="24"/>
          <w:szCs w:val="24"/>
          <w:lang w:eastAsia="pl-PL"/>
        </w:rPr>
        <w:t>mikroprzedsiębiorca</w:t>
      </w:r>
      <w:proofErr w:type="spellEnd"/>
      <w:r>
        <w:rPr>
          <w:rFonts w:ascii="Times New Roman" w:hAnsi="Times New Roman"/>
          <w:i/>
          <w:sz w:val="24"/>
          <w:szCs w:val="24"/>
          <w:lang w:eastAsia="pl-PL"/>
        </w:rPr>
        <w:t>, który złożył już wniosek o zwolnienie ze składek ZUS może skorzystać z dofinansowania do wynagrodzenia pracowników ? Jeżeli tak, to w jaki sposób powinien być uzupełni</w:t>
      </w:r>
      <w:r>
        <w:rPr>
          <w:rFonts w:ascii="Times New Roman" w:hAnsi="Times New Roman"/>
          <w:i/>
          <w:sz w:val="24"/>
          <w:szCs w:val="24"/>
          <w:lang w:eastAsia="pl-PL"/>
        </w:rPr>
        <w:t>ony wniosek, jeżeli arkusz automatycznie po podaniu kwoty wynagrodzenia oblicza kwotę składek ZUS? (ZUS).</w:t>
      </w: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B48" w:rsidRDefault="004A2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Tak, przedsiębiorca może skorzystać z dofinansowania do części kosztów wynagrodzeń pracowników. Kalkulator został skonstruowany w ten sposób, że jeśl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przedsiębiorca zaznaczy w odpowiedniej rubryce, że skorzystał ze zwolnienia z opłacania składek w ZUS to kalkulator obliczy tylko dofinansowanie części kosztów wynagrodzeń. </w:t>
      </w:r>
    </w:p>
    <w:p w:rsidR="000B1B48" w:rsidRDefault="004A21DB">
      <w:pPr>
        <w:pStyle w:val="Tekstpodstawowy"/>
        <w:suppressAutoHyphens/>
        <w:spacing w:before="120"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 xml:space="preserve">Pytanie 6. 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Czy jako osoba samozatrudniona starająca się o otrzymanie zwolnienia </w:t>
      </w:r>
      <w:r>
        <w:rPr>
          <w:rFonts w:ascii="Times New Roman" w:hAnsi="Times New Roman"/>
          <w:i/>
          <w:sz w:val="24"/>
          <w:szCs w:val="24"/>
          <w:lang w:eastAsia="pl-PL"/>
        </w:rPr>
        <w:t>ze składek ZUS mogę jednocześnie starać się o dofinansowanie dla samozatrudnionych z Urzędu Pracy?</w:t>
      </w:r>
    </w:p>
    <w:p w:rsidR="000B1B48" w:rsidRDefault="000B1B48">
      <w:pPr>
        <w:pStyle w:val="Tekstpodstawowy"/>
        <w:suppressAutoHyphens/>
        <w:spacing w:before="120" w:after="0" w:line="240" w:lineRule="auto"/>
        <w:rPr>
          <w:rFonts w:ascii="Times New Roman" w:eastAsiaTheme="minorHAnsi" w:hAnsi="Times New Roman"/>
          <w:spacing w:val="0"/>
          <w:sz w:val="24"/>
          <w:szCs w:val="24"/>
        </w:rPr>
      </w:pPr>
    </w:p>
    <w:p w:rsidR="000B1B48" w:rsidRDefault="004A2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Tak, te instrumenty nie wykluczają się. Jeśli przedsiębiorca został zwolniony ze składek ZUS – nie stanowią one części kosztów prowadzenia działalności gosp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odarczej. Jednocześnie przy dofinansowaniu, to przedsiębiorca wybiera, na jaką część prowadzenia działalności przeznacza dofinansowanie i nie ma obowiązku sprawozdawczości przy tej usłudze. Dodatkowo sam fakt złożenia wniosku nie dyskwalifikuje z otrzymani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wsparcia na którykolwiek z tych instrumentów.</w:t>
      </w:r>
    </w:p>
    <w:p w:rsidR="000B1B48" w:rsidRDefault="000B1B48">
      <w:pPr>
        <w:pStyle w:val="Tekstpodstawowy"/>
        <w:suppressAutoHyphens/>
        <w:spacing w:before="120" w:after="0" w:line="240" w:lineRule="auto"/>
        <w:rPr>
          <w:rFonts w:ascii="Times New Roman" w:eastAsiaTheme="minorHAnsi" w:hAnsi="Times New Roman"/>
          <w:spacing w:val="0"/>
          <w:sz w:val="24"/>
          <w:szCs w:val="24"/>
        </w:rPr>
      </w:pPr>
    </w:p>
    <w:p w:rsidR="000B1B48" w:rsidRDefault="004A21DB">
      <w:pPr>
        <w:pStyle w:val="Tekstpodstawowy"/>
        <w:suppressAutoHyphens/>
        <w:spacing w:before="120"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Pytanie 7. </w:t>
      </w:r>
      <w:r>
        <w:rPr>
          <w:rFonts w:ascii="Times New Roman" w:hAnsi="Times New Roman"/>
          <w:i/>
          <w:sz w:val="24"/>
          <w:szCs w:val="24"/>
          <w:lang w:eastAsia="pl-PL"/>
        </w:rPr>
        <w:t>Klientka chciałaby skorzystać z dofinansowania do pensji dla części pracowników, na jakiej podstawie ma dobrać pracowników, aby nie przedstawiono jej zarzutu dyskryminacji?</w:t>
      </w: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B48" w:rsidRDefault="004A2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Przedsiębiorca może 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stąpić o dofinansowanie dla wszystkich pracowników lub dla części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nich, decyzja należy do przedsiębiorcy. Aby otrzymać dofinansowanie przedsiębiorca musi spełnić warunki określone w art. 15zzb ustawy.</w:t>
      </w: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B48" w:rsidRDefault="004A2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Pytanie 8.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Klientka posiada firmę - 20 osób, chce skorzystać z dofinansowania do pensji. Czy o to dofinansowanie ma się starać dla wszystkich pracowników? Klientka chce zwolnić 2 osoby, czy może wnioskować o dofinansowanie dla pozostałych 18? Czy ma nie zwalniać tych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 osób i wnioskować o dofinansowanie dla wszystkich? Czy klientka może starać się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 dofinansowanie np. dla 19 osób, a 1 zmniejszyć etat i również wnioskować o dofinansowanie?</w:t>
      </w: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B48" w:rsidRDefault="004A2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przedsiębiorca spełnia warunki określone w art. 15zzb ustawy to może zło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żyć wniosek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dofinansowanie dla wszystkich pracowników, jeśli zwolni część załogi wówczas może wystąpić z wnioskiem na pozostałą część. Nie ma znaczenia wysokość etatu.</w:t>
      </w: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1B48" w:rsidRDefault="004A2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Pytanie 9.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Firma transportowa zatrudnia aktualnie około 100 pracowników. W obecnej sytuacji firma odnotowała spadek obrotów. Pytanie jest następujące, czy jeżeli rok temu firma zatrudniała znacznie mniej osób i jej obroty były na podobnym poziomie jak w chwili obecne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 przy znacznie większej liczbie osób podczas epidemii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koronawirusa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jak wykazać spadek obrotu z ostatnich miesięcy w porównaniu do roku 2019? Firma chciałaby się ubiegać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 dofinansowanie do pensji pracowników. Chodzi konkretnie o wykaz obrotów w ujęciu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ilościowym. Firma ponadto miała znaczeni mniej ciężarówek w roku 2019 niż w roku 2020.</w:t>
      </w: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B48" w:rsidRDefault="004A2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Aby przedsiębiorca uzyskał dofinansowanie spadek obrotów musi wynosić co najmniej 30%. Spadek należy policzyć w następujący sposób: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PROCENTOWY    SPADEK  OBROTÓW W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0R. W PORÓWNANIU DO 2019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(spadek obrotów należy obliczyć wg wzoru: (x-y)/y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pl-PL"/>
        </w:rPr>
        <w:t>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100gdzie: x oznacza sumę łącznych obrotów w okresie 2 kolejnych miesięcy kalendarzowych w 2020 r., oznacza sumę łącznych obrotów w okresie analogicznych 2 kolejnych miesięcy kale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ndarzowych w 2019 r.</w:t>
      </w: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B48" w:rsidRDefault="000B1B48">
      <w:pPr>
        <w:pStyle w:val="Tekstpodstawowy"/>
        <w:suppressAutoHyphens/>
        <w:spacing w:before="120"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B1B48" w:rsidRDefault="000B1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B48" w:rsidRDefault="000B1B48">
      <w:pPr>
        <w:pStyle w:val="Tekstpodstawowy"/>
        <w:suppressAutoHyphens/>
        <w:spacing w:before="120" w:after="0" w:line="240" w:lineRule="auto"/>
        <w:rPr>
          <w:rFonts w:ascii="Times New Roman" w:eastAsiaTheme="minorHAnsi" w:hAnsi="Times New Roman"/>
          <w:spacing w:val="0"/>
          <w:sz w:val="24"/>
          <w:szCs w:val="24"/>
        </w:rPr>
      </w:pPr>
    </w:p>
    <w:p w:rsidR="000B1B48" w:rsidRDefault="004A21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Pytanie 10. </w:t>
      </w:r>
      <w:r>
        <w:rPr>
          <w:rFonts w:ascii="Times New Roman" w:hAnsi="Times New Roman" w:cs="Times New Roman"/>
          <w:i/>
          <w:sz w:val="24"/>
          <w:szCs w:val="24"/>
        </w:rPr>
        <w:t xml:space="preserve">Czy dofinansowanie, o którym mowa w art. 15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zzb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15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zzc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może być przyznane wnioskodawcy, który zawiesił prowadzenie działalności gospodarczej zgodnie </w:t>
      </w:r>
      <w:r>
        <w:rPr>
          <w:rFonts w:ascii="Times New Roman" w:hAnsi="Times New Roman" w:cs="Times New Roman"/>
          <w:i/>
          <w:sz w:val="24"/>
          <w:szCs w:val="24"/>
        </w:rPr>
        <w:br/>
        <w:t>z obowiązującymi przepisami.</w:t>
      </w:r>
    </w:p>
    <w:p w:rsidR="000B1B48" w:rsidRDefault="000B1B48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0B1B48" w:rsidRDefault="004A2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ubiegać się o wsparcie w art.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przedsiębiorca musi mieć a</w:t>
      </w:r>
      <w:r>
        <w:rPr>
          <w:rFonts w:ascii="Times New Roman" w:hAnsi="Times New Roman" w:cs="Times New Roman"/>
          <w:sz w:val="24"/>
          <w:szCs w:val="24"/>
        </w:rPr>
        <w:t xml:space="preserve">ktywną działalność gospodarczą. Dodatkowo okres, który został uwzględniony do obliczenia spadku obrotów (zarówno w 2020 r. jak i 2019 r.), musi być w czasie, gdy działalność była aktywna. </w:t>
      </w:r>
    </w:p>
    <w:p w:rsidR="000B1B48" w:rsidRDefault="004A2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Wyjaśnienie: </w:t>
      </w:r>
    </w:p>
    <w:p w:rsidR="000B1B48" w:rsidRDefault="004A21D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>
        <w:rPr>
          <w:rFonts w:ascii="Times New Roman" w:hAnsi="Times New Roman" w:cs="Times New Roman"/>
          <w:sz w:val="24"/>
          <w:szCs w:val="24"/>
        </w:rPr>
        <w:tab/>
        <w:t>W przypadku dofinansowania, o którym mowa w art. 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zzc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działalność musi być aktywna na czas otrzymywania wsparcia oraz po zakończeniu jego otrzymywania – przez okres równy temu okresowi. Wynika to bezpośrednio z artykułu;</w:t>
      </w:r>
    </w:p>
    <w:p w:rsidR="000B1B48" w:rsidRDefault="004A21D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przypadku art.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przedsiębiorca jest obowiązany do utrzymania </w:t>
      </w:r>
      <w:r>
        <w:rPr>
          <w:rFonts w:ascii="Times New Roman" w:hAnsi="Times New Roman" w:cs="Times New Roman"/>
          <w:sz w:val="24"/>
          <w:szCs w:val="24"/>
        </w:rPr>
        <w:br/>
        <w:t>w zatrudnie</w:t>
      </w:r>
      <w:r>
        <w:rPr>
          <w:rFonts w:ascii="Times New Roman" w:hAnsi="Times New Roman" w:cs="Times New Roman"/>
          <w:sz w:val="24"/>
          <w:szCs w:val="24"/>
        </w:rPr>
        <w:t>niu pracowników objętych umową, przez okres dofinansowania oraz, po zakończeniu dofinansowania, przez okres równy temu okresowi. Zatem działalność nie może być zawieszona. Wynika to bezpośrednio z artykułu;</w:t>
      </w:r>
    </w:p>
    <w:p w:rsidR="000B1B48" w:rsidRDefault="004A21D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Celem tych instrumentów jest zniwelowanie skutk</w:t>
      </w:r>
      <w:r>
        <w:rPr>
          <w:rFonts w:ascii="Times New Roman" w:hAnsi="Times New Roman" w:cs="Times New Roman"/>
          <w:sz w:val="24"/>
          <w:szCs w:val="24"/>
        </w:rPr>
        <w:t>ów covid-19, jeśli działalność była zawieszona (w okresie wykorzystanym do obliczenia spadku obrotów), spadek obrotów nie mógł nastąpić w wyniku covid-19.</w:t>
      </w:r>
    </w:p>
    <w:p w:rsidR="000B1B48" w:rsidRDefault="000B1B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B1B48" w:rsidRDefault="000B1B48">
      <w:pPr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B1B48" w:rsidRDefault="004A21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Pytanie 11. </w:t>
      </w:r>
      <w:r>
        <w:rPr>
          <w:rFonts w:ascii="Times New Roman" w:hAnsi="Times New Roman" w:cs="Times New Roman"/>
          <w:i/>
          <w:sz w:val="24"/>
          <w:szCs w:val="24"/>
        </w:rPr>
        <w:t xml:space="preserve">Czy dofinansowanie, o którym mowa w art. 15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zzb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może być przyznane przedsiębiorcy, któr</w:t>
      </w:r>
      <w:r>
        <w:rPr>
          <w:rFonts w:ascii="Times New Roman" w:hAnsi="Times New Roman" w:cs="Times New Roman"/>
          <w:i/>
          <w:sz w:val="24"/>
          <w:szCs w:val="24"/>
        </w:rPr>
        <w:t xml:space="preserve">ego pracownicy przebywają na bezpłatnych urlopach. </w:t>
      </w:r>
    </w:p>
    <w:p w:rsidR="000B1B48" w:rsidRDefault="004A21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Dofinansowanie, o którym mowa w artykule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może być przyznane przedsiębiorcy, którego pracownicy przebywają na bezpłatnych urlopach. Celem dofinansowania jest koszt części wynagrodzeń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należnych</w:t>
      </w:r>
      <w:r>
        <w:rPr>
          <w:rFonts w:ascii="Times New Roman" w:hAnsi="Times New Roman" w:cs="Times New Roman"/>
          <w:sz w:val="24"/>
          <w:szCs w:val="24"/>
        </w:rPr>
        <w:t xml:space="preserve"> od tych wynagrodzeń składek na ubezpieczenia społeczne, według stanu na ostatni dzień miesiąca, za który dofinansowanie jest wypłacane. Jak wynika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174 § 2 </w:t>
      </w:r>
      <w:proofErr w:type="spellStart"/>
      <w:r>
        <w:rPr>
          <w:rFonts w:ascii="Times New Roman" w:hAnsi="Times New Roman" w:cs="Times New Roman"/>
          <w:sz w:val="24"/>
          <w:szCs w:val="24"/>
        </w:rPr>
        <w:t>k.p</w:t>
      </w:r>
      <w:proofErr w:type="spellEnd"/>
      <w:r>
        <w:rPr>
          <w:rFonts w:ascii="Times New Roman" w:hAnsi="Times New Roman" w:cs="Times New Roman"/>
          <w:sz w:val="24"/>
          <w:szCs w:val="24"/>
        </w:rPr>
        <w:t>., okresu urlopu bezpłatnego nie wlicza się do okresu pracy, od którego zależą uprawnieni</w:t>
      </w:r>
      <w:r>
        <w:rPr>
          <w:rFonts w:ascii="Times New Roman" w:hAnsi="Times New Roman" w:cs="Times New Roman"/>
          <w:sz w:val="24"/>
          <w:szCs w:val="24"/>
        </w:rPr>
        <w:t xml:space="preserve">a pracownicze. Dodatkowo okres urlopu bezpłatnego stanowi przerwę w realizacji obowiązków i praw pracowniczych u pracodawcy. W konsekwencji należy przyjąć, że pracodawca nie musi opłacać składek na ubezpieczenie społeczne za takiego pracownika </w:t>
      </w:r>
      <w:r>
        <w:rPr>
          <w:rFonts w:ascii="Times New Roman" w:hAnsi="Times New Roman" w:cs="Times New Roman"/>
          <w:sz w:val="24"/>
          <w:szCs w:val="24"/>
        </w:rPr>
        <w:br/>
        <w:t>w czasie, g</w:t>
      </w:r>
      <w:r>
        <w:rPr>
          <w:rFonts w:ascii="Times New Roman" w:hAnsi="Times New Roman" w:cs="Times New Roman"/>
          <w:sz w:val="24"/>
          <w:szCs w:val="24"/>
        </w:rPr>
        <w:t>dy ten przebywa na urlopie bezpłatnym.</w:t>
      </w:r>
    </w:p>
    <w:p w:rsidR="000B1B48" w:rsidRDefault="000B1B48"/>
    <w:p w:rsidR="000B1B48" w:rsidRDefault="000B1B48">
      <w:pPr>
        <w:pStyle w:val="Tekstpodstawowy"/>
        <w:suppressAutoHyphens/>
        <w:spacing w:before="120"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B1B48" w:rsidRDefault="000B1B48">
      <w:pPr>
        <w:pStyle w:val="Tekstpodstawowy"/>
        <w:suppressAutoHyphens/>
        <w:spacing w:before="120"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B1B48" w:rsidRDefault="000B1B48">
      <w:pPr>
        <w:pStyle w:val="Tekstpodstawowy"/>
        <w:suppressAutoHyphens/>
        <w:spacing w:before="120"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B1B48" w:rsidRDefault="000B1B48">
      <w:pPr>
        <w:pStyle w:val="Tekstpodstawowy"/>
        <w:suppressAutoHyphens/>
        <w:spacing w:before="120" w:after="0" w:line="240" w:lineRule="auto"/>
      </w:pPr>
    </w:p>
    <w:sectPr w:rsidR="000B1B48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1DB" w:rsidRDefault="004A21DB">
      <w:pPr>
        <w:spacing w:after="0" w:line="240" w:lineRule="auto"/>
      </w:pPr>
      <w:r>
        <w:separator/>
      </w:r>
    </w:p>
  </w:endnote>
  <w:endnote w:type="continuationSeparator" w:id="0">
    <w:p w:rsidR="004A21DB" w:rsidRDefault="004A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612860"/>
      <w:docPartObj>
        <w:docPartGallery w:val="Page Numbers (Bottom of Page)"/>
        <w:docPartUnique/>
      </w:docPartObj>
    </w:sdtPr>
    <w:sdtEndPr/>
    <w:sdtContent>
      <w:p w:rsidR="000B1B48" w:rsidRDefault="004A21D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0B1B48" w:rsidRDefault="000B1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1DB" w:rsidRDefault="004A21DB">
      <w:pPr>
        <w:spacing w:after="0" w:line="240" w:lineRule="auto"/>
      </w:pPr>
      <w:r>
        <w:separator/>
      </w:r>
    </w:p>
  </w:footnote>
  <w:footnote w:type="continuationSeparator" w:id="0">
    <w:p w:rsidR="004A21DB" w:rsidRDefault="004A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5D08"/>
    <w:multiLevelType w:val="multilevel"/>
    <w:tmpl w:val="83EED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6427DB"/>
    <w:multiLevelType w:val="multilevel"/>
    <w:tmpl w:val="721E4A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48"/>
    <w:rsid w:val="000B1B48"/>
    <w:rsid w:val="003F7373"/>
    <w:rsid w:val="004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CD5EB-74A2-4C6A-91D8-D64C81F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A5B68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A5B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A5B6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A5B68"/>
  </w:style>
  <w:style w:type="character" w:customStyle="1" w:styleId="StopkaZnak">
    <w:name w:val="Stopka Znak"/>
    <w:basedOn w:val="Domylnaczcionkaakapitu"/>
    <w:link w:val="Stopka"/>
    <w:uiPriority w:val="99"/>
    <w:qFormat/>
    <w:rsid w:val="005A5B6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CD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24D1A"/>
    <w:rPr>
      <w:b/>
      <w:bCs/>
    </w:rPr>
  </w:style>
  <w:style w:type="character" w:customStyle="1" w:styleId="ListLabel1">
    <w:name w:val="ListLabel 1"/>
    <w:qFormat/>
    <w:rPr>
      <w:i w:val="0"/>
      <w:color w:val="auto"/>
    </w:rPr>
  </w:style>
  <w:style w:type="character" w:customStyle="1" w:styleId="ListLabel2">
    <w:name w:val="ListLabel 2"/>
    <w:qFormat/>
    <w:rPr>
      <w:rFonts w:cs="Times New Roman"/>
      <w:color w:val="auto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A5B6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5A5B68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C7F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A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5B6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CD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2090</Words>
  <Characters>12542</Characters>
  <Application>Microsoft Office Word</Application>
  <DocSecurity>0</DocSecurity>
  <Lines>104</Lines>
  <Paragraphs>29</Paragraphs>
  <ScaleCrop>false</ScaleCrop>
  <Company>MRR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Kubiak</dc:creator>
  <dc:description/>
  <cp:lastModifiedBy>Kasia</cp:lastModifiedBy>
  <cp:revision>2</cp:revision>
  <cp:lastPrinted>2020-04-15T10:08:00Z</cp:lastPrinted>
  <dcterms:created xsi:type="dcterms:W3CDTF">2020-04-15T10:09:00Z</dcterms:created>
  <dcterms:modified xsi:type="dcterms:W3CDTF">2020-04-15T10:09:00Z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